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FCDBD" w14:textId="4F568967" w:rsidR="00AD0903" w:rsidRPr="00DD1D1E" w:rsidRDefault="00AD0903" w:rsidP="00AD0903">
      <w:pPr>
        <w:spacing w:after="0"/>
        <w:rPr>
          <w:rFonts w:ascii="Times New Roman" w:hAnsi="Times New Roman" w:cs="Times New Roman"/>
          <w:color w:val="FF0000"/>
          <w:sz w:val="32"/>
          <w:szCs w:val="32"/>
          <w:lang w:val="kk-KZ"/>
        </w:rPr>
      </w:pPr>
      <w:r w:rsidRPr="00DD1D1E">
        <w:rPr>
          <w:rFonts w:ascii="Times New Roman" w:hAnsi="Times New Roman" w:cs="Times New Roman"/>
          <w:color w:val="FF0000"/>
          <w:sz w:val="32"/>
          <w:szCs w:val="32"/>
          <w:highlight w:val="green"/>
          <w:lang w:val="kk-KZ"/>
        </w:rPr>
        <w:t>9 Дәріс</w:t>
      </w:r>
      <w:r w:rsidRPr="00DD1D1E">
        <w:rPr>
          <w:rFonts w:ascii="Times New Roman" w:hAnsi="Times New Roman" w:cs="Times New Roman"/>
          <w:color w:val="FF0000"/>
          <w:sz w:val="32"/>
          <w:szCs w:val="32"/>
          <w:lang w:val="kk-KZ"/>
        </w:rPr>
        <w:t xml:space="preserve"> -</w:t>
      </w:r>
      <w:r w:rsidR="00DD1D1E" w:rsidRPr="00DD1D1E">
        <w:rPr>
          <w:rFonts w:ascii="Times New Roman" w:hAnsi="Times New Roman" w:cs="Times New Roman"/>
          <w:color w:val="FF0000"/>
          <w:sz w:val="32"/>
          <w:szCs w:val="32"/>
          <w:lang w:val="kk-KZ"/>
        </w:rPr>
        <w:t xml:space="preserve"> </w:t>
      </w:r>
      <w:r w:rsidR="00DD1D1E" w:rsidRPr="00DD1D1E">
        <w:rPr>
          <w:rFonts w:ascii="Times New Roman" w:hAnsi="Times New Roman" w:cs="Times New Roman"/>
          <w:color w:val="FF0000"/>
          <w:sz w:val="32"/>
          <w:szCs w:val="32"/>
          <w:highlight w:val="yellow"/>
          <w:lang w:val="kk-KZ"/>
        </w:rPr>
        <w:t>Мемлекеттің экономикалық саясаты</w:t>
      </w:r>
    </w:p>
    <w:p w14:paraId="4F54B72F" w14:textId="77777777" w:rsidR="00AD0903" w:rsidRPr="00DD1D1E" w:rsidRDefault="00AD0903" w:rsidP="00AD0903">
      <w:pPr>
        <w:spacing w:after="0"/>
        <w:rPr>
          <w:rFonts w:ascii="Times New Roman" w:hAnsi="Times New Roman" w:cs="Times New Roman"/>
          <w:b/>
          <w:bCs/>
          <w:color w:val="0070C0"/>
          <w:sz w:val="32"/>
          <w:szCs w:val="32"/>
          <w:lang w:val="kk-KZ"/>
        </w:rPr>
      </w:pPr>
    </w:p>
    <w:p w14:paraId="000452A8" w14:textId="77777777" w:rsidR="00AD0903" w:rsidRPr="00DD1D1E" w:rsidRDefault="00AD0903" w:rsidP="00AD0903">
      <w:pPr>
        <w:spacing w:after="0"/>
        <w:rPr>
          <w:rFonts w:ascii="Times New Roman" w:hAnsi="Times New Roman" w:cs="Times New Roman"/>
          <w:b/>
          <w:bCs/>
          <w:color w:val="0070C0"/>
          <w:sz w:val="32"/>
          <w:szCs w:val="32"/>
          <w:lang w:val="kk-KZ"/>
        </w:rPr>
      </w:pPr>
      <w:r w:rsidRPr="00DD1D1E">
        <w:rPr>
          <w:rFonts w:ascii="Times New Roman" w:hAnsi="Times New Roman" w:cs="Times New Roman"/>
          <w:b/>
          <w:bCs/>
          <w:color w:val="0070C0"/>
          <w:sz w:val="32"/>
          <w:szCs w:val="32"/>
          <w:lang w:val="kk-KZ"/>
        </w:rPr>
        <w:t>Сұрақтар:</w:t>
      </w:r>
    </w:p>
    <w:p w14:paraId="40E39C92" w14:textId="45E204F7" w:rsidR="00AD0903" w:rsidRPr="00DD1D1E" w:rsidRDefault="00AD0903" w:rsidP="00AD0903">
      <w:pPr>
        <w:spacing w:after="0"/>
        <w:rPr>
          <w:rFonts w:ascii="Times New Roman" w:hAnsi="Times New Roman" w:cs="Times New Roman"/>
          <w:color w:val="FF0000"/>
          <w:sz w:val="32"/>
          <w:szCs w:val="32"/>
          <w:lang w:val="kk-KZ"/>
        </w:rPr>
      </w:pPr>
      <w:r w:rsidRPr="00DD1D1E">
        <w:rPr>
          <w:rFonts w:ascii="Times New Roman" w:hAnsi="Times New Roman" w:cs="Times New Roman"/>
          <w:color w:val="FF0000"/>
          <w:sz w:val="32"/>
          <w:szCs w:val="32"/>
          <w:lang w:val="kk-KZ"/>
        </w:rPr>
        <w:t xml:space="preserve">1.1 </w:t>
      </w:r>
      <w:r w:rsidR="00DD1D1E" w:rsidRPr="00DD1D1E">
        <w:rPr>
          <w:rFonts w:ascii="Times New Roman" w:hAnsi="Times New Roman" w:cs="Times New Roman"/>
          <w:color w:val="FF0000"/>
          <w:sz w:val="32"/>
          <w:szCs w:val="32"/>
          <w:lang w:val="kk-KZ"/>
        </w:rPr>
        <w:t>Мемлекеттің экономикалық саясаты</w:t>
      </w:r>
    </w:p>
    <w:p w14:paraId="76FA66F4" w14:textId="4234225D" w:rsidR="00AD0903" w:rsidRPr="00DD1D1E" w:rsidRDefault="00AD0903" w:rsidP="00AD0903">
      <w:pPr>
        <w:spacing w:after="0"/>
        <w:rPr>
          <w:rFonts w:ascii="Times New Roman" w:hAnsi="Times New Roman" w:cs="Times New Roman"/>
          <w:color w:val="FF0000"/>
          <w:sz w:val="32"/>
          <w:szCs w:val="32"/>
          <w:lang w:val="kk-KZ"/>
        </w:rPr>
      </w:pPr>
      <w:r w:rsidRPr="00DD1D1E">
        <w:rPr>
          <w:rFonts w:ascii="Times New Roman" w:hAnsi="Times New Roman" w:cs="Times New Roman"/>
          <w:color w:val="FF0000"/>
          <w:sz w:val="32"/>
          <w:szCs w:val="32"/>
          <w:lang w:val="kk-KZ"/>
        </w:rPr>
        <w:t xml:space="preserve">1.2 </w:t>
      </w:r>
      <w:r w:rsidR="00DD1D1E" w:rsidRPr="00DD1D1E">
        <w:rPr>
          <w:rFonts w:ascii="Times New Roman" w:hAnsi="Times New Roman" w:cs="Times New Roman"/>
          <w:color w:val="FF0000"/>
          <w:sz w:val="32"/>
          <w:szCs w:val="32"/>
          <w:lang w:val="kk-KZ"/>
        </w:rPr>
        <w:t>Экономикалық саясатты дамыту тиімділігі</w:t>
      </w:r>
    </w:p>
    <w:p w14:paraId="7F4C8524" w14:textId="77777777" w:rsidR="00AD0903" w:rsidRPr="00DD1D1E" w:rsidRDefault="00AD0903" w:rsidP="00AD0903">
      <w:pPr>
        <w:spacing w:after="0"/>
        <w:rPr>
          <w:rFonts w:ascii="Times New Roman" w:hAnsi="Times New Roman" w:cs="Times New Roman"/>
          <w:b/>
          <w:bCs/>
          <w:color w:val="FF0000"/>
          <w:sz w:val="32"/>
          <w:szCs w:val="32"/>
          <w:lang w:val="kk-KZ"/>
        </w:rPr>
      </w:pPr>
      <w:r w:rsidRPr="00DD1D1E">
        <w:rPr>
          <w:rFonts w:ascii="Times New Roman" w:hAnsi="Times New Roman" w:cs="Times New Roman"/>
          <w:b/>
          <w:bCs/>
          <w:color w:val="FF0000"/>
          <w:sz w:val="32"/>
          <w:szCs w:val="32"/>
          <w:lang w:val="kk-KZ"/>
        </w:rPr>
        <w:t xml:space="preserve">    </w:t>
      </w:r>
    </w:p>
    <w:p w14:paraId="359CA280" w14:textId="2F49F46E" w:rsidR="00AD0903" w:rsidRPr="00DD1D1E" w:rsidRDefault="00AD0903" w:rsidP="00AD0903">
      <w:pPr>
        <w:rPr>
          <w:rFonts w:ascii="Times New Roman" w:hAnsi="Times New Roman" w:cs="Times New Roman"/>
          <w:color w:val="0070C0"/>
          <w:sz w:val="32"/>
          <w:szCs w:val="32"/>
          <w:lang w:val="kk-KZ"/>
        </w:rPr>
      </w:pPr>
      <w:r w:rsidRPr="00DD1D1E">
        <w:rPr>
          <w:rFonts w:ascii="Times New Roman" w:hAnsi="Times New Roman" w:cs="Times New Roman"/>
          <w:b/>
          <w:bCs/>
          <w:color w:val="0070C0"/>
          <w:sz w:val="32"/>
          <w:szCs w:val="32"/>
          <w:lang w:val="kk-KZ"/>
        </w:rPr>
        <w:t xml:space="preserve">  </w:t>
      </w:r>
      <w:r w:rsidRPr="00DD1D1E">
        <w:rPr>
          <w:rFonts w:ascii="Times New Roman" w:hAnsi="Times New Roman" w:cs="Times New Roman"/>
          <w:b/>
          <w:bCs/>
          <w:color w:val="0070C0"/>
          <w:sz w:val="32"/>
          <w:szCs w:val="32"/>
          <w:highlight w:val="green"/>
          <w:lang w:val="kk-KZ"/>
        </w:rPr>
        <w:t>Мақсаты:</w:t>
      </w:r>
      <w:r w:rsidRPr="00DD1D1E">
        <w:rPr>
          <w:rFonts w:ascii="Times New Roman" w:hAnsi="Times New Roman" w:cs="Times New Roman"/>
          <w:color w:val="0070C0"/>
          <w:sz w:val="32"/>
          <w:szCs w:val="32"/>
          <w:highlight w:val="green"/>
          <w:lang w:val="kk-KZ"/>
        </w:rPr>
        <w:t xml:space="preserve">  докторанттарға     </w:t>
      </w:r>
      <w:r w:rsidR="00DD1D1E" w:rsidRPr="00DD1D1E">
        <w:rPr>
          <w:rFonts w:ascii="Times New Roman" w:hAnsi="Times New Roman" w:cs="Times New Roman"/>
          <w:color w:val="0070C0"/>
          <w:sz w:val="32"/>
          <w:szCs w:val="32"/>
          <w:lang w:val="kk-KZ"/>
        </w:rPr>
        <w:t>мемлекеттің экономикалық саясатты</w:t>
      </w:r>
      <w:r w:rsidRPr="00DD1D1E">
        <w:rPr>
          <w:rFonts w:ascii="Times New Roman" w:hAnsi="Times New Roman" w:cs="Times New Roman"/>
          <w:color w:val="0070C0"/>
          <w:sz w:val="32"/>
          <w:szCs w:val="32"/>
          <w:highlight w:val="green"/>
          <w:lang w:val="kk-KZ"/>
        </w:rPr>
        <w:t xml:space="preserve">                                                   жан-жақ</w:t>
      </w:r>
      <w:r w:rsidR="00DD1D1E" w:rsidRPr="00DD1D1E">
        <w:rPr>
          <w:rFonts w:ascii="Times New Roman" w:hAnsi="Times New Roman" w:cs="Times New Roman"/>
          <w:color w:val="0070C0"/>
          <w:sz w:val="32"/>
          <w:szCs w:val="32"/>
          <w:highlight w:val="green"/>
          <w:lang w:val="kk-KZ"/>
        </w:rPr>
        <w:t>т</w:t>
      </w:r>
      <w:r w:rsidRPr="00DD1D1E">
        <w:rPr>
          <w:rFonts w:ascii="Times New Roman" w:hAnsi="Times New Roman" w:cs="Times New Roman"/>
          <w:color w:val="0070C0"/>
          <w:sz w:val="32"/>
          <w:szCs w:val="32"/>
          <w:highlight w:val="green"/>
          <w:lang w:val="kk-KZ"/>
        </w:rPr>
        <w:t xml:space="preserve">ы түсіндіру  </w:t>
      </w:r>
    </w:p>
    <w:p w14:paraId="0B458035"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d"/>
          <w:rFonts w:ascii="Montserrat" w:eastAsiaTheme="majorEastAsia" w:hAnsi="Montserrat"/>
          <w:color w:val="212529"/>
          <w:sz w:val="19"/>
          <w:szCs w:val="19"/>
          <w:lang w:val="kk-KZ"/>
        </w:rPr>
        <w:t>Мемлекеттің экономикалық саясаты</w:t>
      </w:r>
    </w:p>
    <w:p w14:paraId="045433CB"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Экономикалық саясат – бұл мемлекеттің экономикалық аумағында экономикалық субъектлердің тиімді әрі тұрақты өзара байланыстарына қажетті қолайлы жағдайларды қалыптастыруға, сондай-ақ, экономикалық дамудың келеңсіз факторларын және олардың салдарын жоюға һәм азайтуға бағытталған іс-шаралардың және құқықтық сипаттағы шектеулердің жиынтығын білдіретін зерттеудің айырықша объектісі.</w:t>
      </w:r>
    </w:p>
    <w:p w14:paraId="2D53B19D"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Мемлекет қызметтерінің айырықша түрі ретінде, экономикалық саясат – нарықтық экономикалық жағдайлардың өрісін қалыптастыру және экономикалық үдерістер мен ұлттық экономиканың дамуына оң ықпал етуге мақсатты бағдарланған ұтымды іс-шараларды жүзеге асыру. М. Фридманның пікірінше бұл қызмет ғылымға емес, әлде қайда, әсіресе шешім қабылдауы бойынша, өнерге жатады. Өйткені, бұл ыңғай түрлі экономикалық ағымдар өкілдерінің түпкілікті мақсаттарының негізгі бірлігін анықтауға мүмкіндік береді және осылайша көзқарастық келіспеушіліктерді жеңуге жағдай жасайды. Ғылым ретінде, экономикалық саясат әлде қайда нормативтік сипатты болып келеді. Яғни, мемлекеттің не істеуі керектігін, іс-әрекеттік қылықтарының ережелерін қылыптастырады және негіздейді.</w:t>
      </w:r>
    </w:p>
    <w:p w14:paraId="7ED196B8"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Нарықтық экономикадағы мемлекеттің міндеттері:</w:t>
      </w:r>
    </w:p>
    <w:p w14:paraId="4990040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w:t>
      </w:r>
      <w:r w:rsidRPr="00B74824">
        <w:rPr>
          <w:rStyle w:val="ae"/>
          <w:rFonts w:ascii="Montserrat" w:eastAsiaTheme="majorEastAsia" w:hAnsi="Montserrat"/>
          <w:color w:val="212529"/>
          <w:sz w:val="19"/>
          <w:szCs w:val="19"/>
          <w:lang w:val="kk-KZ"/>
        </w:rPr>
        <w:t>Экономикалық саясат</w:t>
      </w:r>
      <w:r w:rsidRPr="00B74824">
        <w:rPr>
          <w:rFonts w:ascii="Montserrat" w:hAnsi="Montserrat"/>
          <w:color w:val="212529"/>
          <w:sz w:val="19"/>
          <w:szCs w:val="19"/>
          <w:lang w:val="kk-KZ"/>
        </w:rPr>
        <w:t>: экономикалық әрекеттердің жүзеге асырылуы өрісін (шекарасын) белгілеу: бір жағынан әрекет еркіндігін кепілдендіру, келесі жағынан экономикалық жауапкершілік. Экономикалық тәртіп саясатының өзегі – бәсекелестікті қолдау және меншікті ұтымды пайдалану;</w:t>
      </w:r>
    </w:p>
    <w:p w14:paraId="34F6A19C"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w:t>
      </w:r>
      <w:r w:rsidRPr="00B74824">
        <w:rPr>
          <w:rStyle w:val="ae"/>
          <w:rFonts w:ascii="Montserrat" w:eastAsiaTheme="majorEastAsia" w:hAnsi="Montserrat"/>
          <w:color w:val="212529"/>
          <w:sz w:val="19"/>
          <w:szCs w:val="19"/>
          <w:lang w:val="kk-KZ"/>
        </w:rPr>
        <w:t>Білім беру саласындағы саясат</w:t>
      </w:r>
      <w:r w:rsidRPr="00B74824">
        <w:rPr>
          <w:rFonts w:ascii="Montserrat" w:hAnsi="Montserrat"/>
          <w:color w:val="212529"/>
          <w:sz w:val="19"/>
          <w:szCs w:val="19"/>
          <w:lang w:val="kk-KZ"/>
        </w:rPr>
        <w:t>: мемлекет барлық азаматтарын олар өздерінің шығармашылық әлуеттерін көрсете алуы үшін негізгі (базалық) білім деңгейімен қамтамасыз етуі тиіс;</w:t>
      </w:r>
    </w:p>
    <w:p w14:paraId="74A2B230"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w:t>
      </w:r>
      <w:r w:rsidRPr="00B74824">
        <w:rPr>
          <w:rStyle w:val="ae"/>
          <w:rFonts w:ascii="Montserrat" w:eastAsiaTheme="majorEastAsia" w:hAnsi="Montserrat"/>
          <w:color w:val="212529"/>
          <w:sz w:val="19"/>
          <w:szCs w:val="19"/>
          <w:lang w:val="kk-KZ"/>
        </w:rPr>
        <w:t>Меншік құқығы саласындағы саясат</w:t>
      </w:r>
      <w:r w:rsidRPr="00B74824">
        <w:rPr>
          <w:rFonts w:ascii="Montserrat" w:hAnsi="Montserrat"/>
          <w:color w:val="212529"/>
          <w:sz w:val="19"/>
          <w:szCs w:val="19"/>
          <w:lang w:val="kk-KZ"/>
        </w:rPr>
        <w:t> арқылы мемлекет материальдық активтерге меншікті (меншік құқықтарын) қорғайды, пайданың қайта инвестициялануын (реинвестициялануын) және жаңа капиталдың қалыптасуын қолдайды, табиғи байлықтың қоғамдық капитал ретінде қорғалуына қолайлы жағдайлар қалыптастырады ;</w:t>
      </w:r>
    </w:p>
    <w:p w14:paraId="209AD77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w:t>
      </w:r>
      <w:r w:rsidRPr="00B74824">
        <w:rPr>
          <w:rStyle w:val="ae"/>
          <w:rFonts w:ascii="Montserrat" w:eastAsiaTheme="majorEastAsia" w:hAnsi="Montserrat"/>
          <w:color w:val="212529"/>
          <w:sz w:val="19"/>
          <w:szCs w:val="19"/>
          <w:lang w:val="kk-KZ"/>
        </w:rPr>
        <w:t>Аллокациондық</w:t>
      </w:r>
      <w:r w:rsidRPr="00B74824">
        <w:rPr>
          <w:rFonts w:ascii="Montserrat" w:hAnsi="Montserrat"/>
          <w:color w:val="212529"/>
          <w:sz w:val="19"/>
          <w:szCs w:val="19"/>
          <w:lang w:val="kk-KZ"/>
        </w:rPr>
        <w:t> (ағыл. Allocation – мардымсыз ресурстарды мақсатқа сәйкес бөлу) </w:t>
      </w:r>
      <w:r w:rsidRPr="00B74824">
        <w:rPr>
          <w:rStyle w:val="ae"/>
          <w:rFonts w:ascii="Montserrat" w:eastAsiaTheme="majorEastAsia" w:hAnsi="Montserrat"/>
          <w:color w:val="212529"/>
          <w:sz w:val="19"/>
          <w:szCs w:val="19"/>
          <w:lang w:val="kk-KZ"/>
        </w:rPr>
        <w:t>саясат</w:t>
      </w:r>
      <w:r w:rsidRPr="00B74824">
        <w:rPr>
          <w:rFonts w:ascii="Montserrat" w:hAnsi="Montserrat"/>
          <w:color w:val="212529"/>
          <w:sz w:val="19"/>
          <w:szCs w:val="19"/>
          <w:lang w:val="kk-KZ"/>
        </w:rPr>
        <w:t> мемлекеттің өндірістік бастамаларында жүргізіледі: жекеменшік секторға (үйшаруашылығы және кәсіпкерлік секторлары) мемлекеттік тапсырыстар (сатып алулар), мемлекеттің өзінің өндірістік қызметтері, жария билікті жүргізу, түрлі жекеменшік секторлар арасында субсидиялар, трансферттер, салықтар мен алымдардың көмегімен ресурстарды тарату;</w:t>
      </w:r>
    </w:p>
    <w:p w14:paraId="6F47FB91"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w:t>
      </w:r>
      <w:r w:rsidRPr="00B74824">
        <w:rPr>
          <w:rStyle w:val="ae"/>
          <w:rFonts w:ascii="Montserrat" w:eastAsiaTheme="majorEastAsia" w:hAnsi="Montserrat"/>
          <w:color w:val="212529"/>
          <w:sz w:val="19"/>
          <w:szCs w:val="19"/>
          <w:lang w:val="kk-KZ"/>
        </w:rPr>
        <w:t>Тұрақтандырушы саясат</w:t>
      </w:r>
      <w:r w:rsidRPr="00B74824">
        <w:rPr>
          <w:rFonts w:ascii="Montserrat" w:hAnsi="Montserrat"/>
          <w:color w:val="212529"/>
          <w:sz w:val="19"/>
          <w:szCs w:val="19"/>
          <w:lang w:val="kk-KZ"/>
        </w:rPr>
        <w:t>: бюджеттік-салықтық (фискальдық), ақша-несие (монетарлық) және валюталық саясаттар;</w:t>
      </w:r>
    </w:p>
    <w:p w14:paraId="378ACAA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w:t>
      </w:r>
      <w:r w:rsidRPr="00B74824">
        <w:rPr>
          <w:rStyle w:val="ae"/>
          <w:rFonts w:ascii="Montserrat" w:eastAsiaTheme="majorEastAsia" w:hAnsi="Montserrat"/>
          <w:color w:val="212529"/>
          <w:sz w:val="19"/>
          <w:szCs w:val="19"/>
          <w:lang w:val="kk-KZ"/>
        </w:rPr>
        <w:t>Құрал-қаражаттарды</w:t>
      </w:r>
      <w:r w:rsidRPr="00B74824">
        <w:rPr>
          <w:rFonts w:ascii="Montserrat" w:hAnsi="Montserrat"/>
          <w:color w:val="212529"/>
          <w:sz w:val="19"/>
          <w:szCs w:val="19"/>
          <w:lang w:val="kk-KZ"/>
        </w:rPr>
        <w:t>, соның ішінде әлеуметтік құрал-қаражаттарды </w:t>
      </w:r>
      <w:r w:rsidRPr="00B74824">
        <w:rPr>
          <w:rStyle w:val="ae"/>
          <w:rFonts w:ascii="Montserrat" w:eastAsiaTheme="majorEastAsia" w:hAnsi="Montserrat"/>
          <w:color w:val="212529"/>
          <w:sz w:val="19"/>
          <w:szCs w:val="19"/>
          <w:lang w:val="kk-KZ"/>
        </w:rPr>
        <w:t>қайта бөлу саясаты</w:t>
      </w:r>
      <w:r w:rsidRPr="00B74824">
        <w:rPr>
          <w:rFonts w:ascii="Montserrat" w:hAnsi="Montserrat"/>
          <w:color w:val="212529"/>
          <w:sz w:val="19"/>
          <w:szCs w:val="19"/>
          <w:lang w:val="kk-KZ"/>
        </w:rPr>
        <w:t>.</w:t>
      </w:r>
    </w:p>
    <w:p w14:paraId="628C847D"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d"/>
          <w:rFonts w:ascii="Montserrat" w:eastAsiaTheme="majorEastAsia" w:hAnsi="Montserrat"/>
          <w:color w:val="212529"/>
          <w:sz w:val="19"/>
          <w:szCs w:val="19"/>
          <w:lang w:val="kk-KZ"/>
        </w:rPr>
        <w:lastRenderedPageBreak/>
        <w:t> </w:t>
      </w:r>
    </w:p>
    <w:p w14:paraId="43C38EDE"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d"/>
          <w:rFonts w:ascii="Montserrat" w:eastAsiaTheme="majorEastAsia" w:hAnsi="Montserrat"/>
          <w:color w:val="212529"/>
          <w:sz w:val="19"/>
          <w:szCs w:val="19"/>
          <w:lang w:val="kk-KZ"/>
        </w:rPr>
        <w:t>1.2 Экономикалық саясаттың субъектілері</w:t>
      </w:r>
    </w:p>
    <w:p w14:paraId="404CC439"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Мемлекеттің экономикалық саясатының субъектілері – мемлекеттің экономикалық саясатының қатысушылары. Оларды мемлекеттің экономикалық саясатына қатынастарымен байланысты  жалпылама топтауға болады. Мұндай жіктелінімде экономикалық саясатының субъектілері мемлекеттік, мемлекеттік емес және Supra-ұлттық субъектлерге ажыратылады. Мұнда ұлттық экономикалық шеңбердегі субъектлермен қатар, ұлттық мүдде қорғалатын сыртқы экономикалық өрістердегі экономикалық субъектлер де  қарастырылады.</w:t>
      </w:r>
    </w:p>
    <w:p w14:paraId="5C1095EC"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Экономикалық саясаттың субъектлері болып шаруашылық мүдделерді алып жүрушілер, білдірушілер және орындаушылар табылады.</w:t>
      </w:r>
    </w:p>
    <w:p w14:paraId="03546910"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Шаруашылық мүдделерді алып жүрушілер</w:t>
      </w:r>
      <w:r w:rsidRPr="00B74824">
        <w:rPr>
          <w:rFonts w:ascii="Montserrat" w:hAnsi="Montserrat"/>
          <w:color w:val="212529"/>
          <w:sz w:val="19"/>
          <w:szCs w:val="19"/>
          <w:lang w:val="kk-KZ"/>
        </w:rPr>
        <w:t> – бұлар бір-бірінен бірқатар белгілері бойынша ерекшеленетін әлеуметтік топтар: мүлікке иелік етуі бойынша, табыстары бойынша, табыстары деңгейлес қызмет түрлері бойынша, кәсібі бойынша, салалық және аумақтық мүдделері бойынша. Бұлар – жалдамалы жұмысшылар мен кәсіпорындар қожайындары, фермерлер мен жер иелері, ұсақ және ірі кәсіпкерлер, басқарушылар мен акционерлер, мемлекеттік қызметкерлер және т.т Бұл топ өкілдері өз мүдделерін әлеуметтік-экономикалық жауапкершілікті мемлекеттік органдарға БАҚ-та, митингтерде, шерулерде білдіреді. Бұл – шаруашылық мүдделердің шаруашылықты реттеуші мемлекеттік аппаратпен байланысының бірінші жолағы.</w:t>
      </w:r>
    </w:p>
    <w:p w14:paraId="584F349F"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Шаруашылық мүдделерді білдірушілердің</w:t>
      </w:r>
      <w:r w:rsidRPr="00B74824">
        <w:rPr>
          <w:rFonts w:ascii="Montserrat" w:hAnsi="Montserrat"/>
          <w:color w:val="212529"/>
          <w:sz w:val="19"/>
          <w:szCs w:val="19"/>
          <w:lang w:val="kk-KZ"/>
        </w:rPr>
        <w:t> қуатты тобы – партияларға, одақтарға, бірлестіктерге, ассоциацияларға топтасқан кәсіподақтар, кәсіпкерлер бірлестіктері. Аталмыш топтардың әрқайсысының өздерінің әлеуметтік-экономикалық жағдайына, қандай да бір аймаққа тиесілілігіне, қызметінің түріне байланысты өзіндік мүдделері бар.</w:t>
      </w:r>
    </w:p>
    <w:p w14:paraId="71A29F3D"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Бұлар мемлекеттің әлеуметтік-экономикалық саясатына жоғары деңгейде әсер ету үшін өздерінің әлеуметтік-экономикалық тұжырымдамаларын жүзеге асырады. Олардың өздерінің баспасөз құралдары, қаржы ресурстары, кадрлық орталықтары және қоғаммен тығыз байланыс желілері болады. Бұл – шаруашылық мүдделердің оны реттеуші мемлекеттік аппаратпен байланысының екінші жолағы.</w:t>
      </w:r>
    </w:p>
    <w:p w14:paraId="06C3D216"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Мемлекеттің экономикалық саясаты бағдарламасын шынайы өмірде жүзеге асыратын экономиканы мемлекеттік реттеудің субъектлері – шаруашылық мүдделерді орындаушылар. Бұл – мемлекеттің экономикалық саясатының негізгі буыны, шаруашылық мүдделердің оны реттеуші мемлекеттік аппаратпен байланысының үшінші жолағы.</w:t>
      </w:r>
    </w:p>
    <w:p w14:paraId="215F5143"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Шаруашылық мүдделерді орындаушылар</w:t>
      </w:r>
      <w:r w:rsidRPr="00B74824">
        <w:rPr>
          <w:rFonts w:ascii="Montserrat" w:hAnsi="Montserrat"/>
          <w:color w:val="212529"/>
          <w:sz w:val="19"/>
          <w:szCs w:val="19"/>
          <w:lang w:val="kk-KZ"/>
        </w:rPr>
        <w:t> болып иерархиялық ұстанымдары бойынша орналасқан биліктің үш тармағының органдары және елдің орталық банкі табылады. Соңғы уақыттарда экономиканы мемлекеттік реттеудің субъектлері арасында биліктің атқарушы органы әлде қайда дербес бола түсіп, орталық органының рөлінің артуы тенденциясы байқалуда.</w:t>
      </w:r>
    </w:p>
    <w:p w14:paraId="60BD44D0"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Сондай-ақ, қазірде мемлекеттің экономикалық шешімдеріне кәсіпкерлік құрылымдардың ықпал етуі кең етек жаюда. Олар мемлекеттің экономикалық шешімдеріне ықпал ету үшін атқарушы органға қысымдар жасау арқылы өз мүдделерін лоббирлейді </w:t>
      </w:r>
      <w:r w:rsidRPr="00B74824">
        <w:rPr>
          <w:rStyle w:val="ae"/>
          <w:rFonts w:ascii="Montserrat" w:eastAsiaTheme="majorEastAsia" w:hAnsi="Montserrat"/>
          <w:color w:val="212529"/>
          <w:sz w:val="19"/>
          <w:szCs w:val="19"/>
          <w:lang w:val="kk-KZ"/>
        </w:rPr>
        <w:t>(</w:t>
      </w:r>
      <w:r w:rsidRPr="00B74824">
        <w:rPr>
          <w:rFonts w:ascii="Montserrat" w:hAnsi="Montserrat"/>
          <w:color w:val="212529"/>
          <w:sz w:val="19"/>
          <w:szCs w:val="19"/>
          <w:lang w:val="kk-KZ"/>
        </w:rPr>
        <w:t>ағыл. lobby</w:t>
      </w:r>
      <w:r w:rsidRPr="00B74824">
        <w:rPr>
          <w:rStyle w:val="ae"/>
          <w:rFonts w:ascii="Montserrat" w:eastAsiaTheme="majorEastAsia" w:hAnsi="Montserrat"/>
          <w:color w:val="212529"/>
          <w:sz w:val="19"/>
          <w:szCs w:val="19"/>
          <w:lang w:val="kk-KZ"/>
        </w:rPr>
        <w:t> – басқа тараптың атынан тиімді ресми шешім қабылдауға ықпал жасау ниетімен кез келген лауазымды адаммен байланыс жасау немесе қайсыбір мәселе бойынша ұстанымды тықпалау)</w:t>
      </w:r>
      <w:r w:rsidRPr="00B74824">
        <w:rPr>
          <w:rFonts w:ascii="Montserrat" w:hAnsi="Montserrat"/>
          <w:color w:val="212529"/>
          <w:sz w:val="19"/>
          <w:szCs w:val="19"/>
          <w:lang w:val="kk-KZ"/>
        </w:rPr>
        <w:t>. Сондай-ақ, тағы да сондай заңсыз тәсілмен – қандай да бір шаруашылық шешімді қабылдауға өкілетті тұлғаны сатып алу (пәре беру) оңтайлы шешімдер қабылдату үрдісі кең жайылуда.</w:t>
      </w:r>
    </w:p>
    <w:p w14:paraId="5805D8B8"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Шаруашылық тетіктерді жетілдіру және олардың ұтымды әрекет етуі үшін оның қадағалануына, ұстанылуына істің жемістілігі тәуелді болатын белгілі бір ұстанымдарды ұстану қажет. Экономикалық саясаттың негізгі ұстанымдары болып табылатындар:</w:t>
      </w:r>
    </w:p>
    <w:p w14:paraId="73580007"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сәйкестілік (адекваттылық) ұстанымы;</w:t>
      </w:r>
    </w:p>
    <w:p w14:paraId="1206100C"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lastRenderedPageBreak/>
        <w:t>- кешенділік ұстанымы;</w:t>
      </w:r>
    </w:p>
    <w:p w14:paraId="0DA2477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бейімділік ұстанымы;</w:t>
      </w:r>
    </w:p>
    <w:p w14:paraId="259BA4E7"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құзыреттілік ұстанымы.</w:t>
      </w:r>
    </w:p>
    <w:p w14:paraId="5F11E624"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Сәйкестілік ұстанымы</w:t>
      </w:r>
      <w:r w:rsidRPr="00B74824">
        <w:rPr>
          <w:rFonts w:ascii="Montserrat" w:hAnsi="Montserrat"/>
          <w:color w:val="212529"/>
          <w:sz w:val="19"/>
          <w:szCs w:val="19"/>
          <w:lang w:val="kk-KZ"/>
        </w:rPr>
        <w:t> шаруашылық тетіктерінің өндіргіш күштерінің қолжеткізілген дамуы деңгейіне, елдің осы кездегі дамуы кезеңіне және экономикалық саясатпен алға қойылған мақсаттарға сәйкестілігін қамтамасыз ету қажеттілігін білдіреді.</w:t>
      </w:r>
    </w:p>
    <w:p w14:paraId="4CB6E41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Кешенділік ұстанымы</w:t>
      </w:r>
      <w:r w:rsidRPr="00B74824">
        <w:rPr>
          <w:rFonts w:ascii="Montserrat" w:hAnsi="Montserrat"/>
          <w:color w:val="212529"/>
          <w:sz w:val="19"/>
          <w:szCs w:val="19"/>
          <w:lang w:val="kk-KZ"/>
        </w:rPr>
        <w:t> экономикада болып жатқан экономикалық және әлеуметтік үдерістерді жүйелі түрде талдауға негізделген. Кешенділік және бейімділік ұстанымдары шаруашылық тетіктердің қалай болуы керектігінің мазмұнын ашады.</w:t>
      </w:r>
    </w:p>
    <w:p w14:paraId="1F585D15"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Бейімділік ұстанымы</w:t>
      </w:r>
      <w:r w:rsidRPr="00B74824">
        <w:rPr>
          <w:rFonts w:ascii="Montserrat" w:hAnsi="Montserrat"/>
          <w:color w:val="212529"/>
          <w:sz w:val="19"/>
          <w:szCs w:val="19"/>
          <w:lang w:val="kk-KZ"/>
        </w:rPr>
        <w:t> әлеуметтік-экономикалық мақсаттарға жету үшін сыртқы жағдайлардың өзгеруімен байланысты шаруашылық тетіктердің бейімделуінің және ретке келтірілуінің қалай жүрілуі қажеттігін көрсетеді.</w:t>
      </w:r>
    </w:p>
    <w:p w14:paraId="1BF7C09A"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Style w:val="ae"/>
          <w:rFonts w:ascii="Montserrat" w:eastAsiaTheme="majorEastAsia" w:hAnsi="Montserrat"/>
          <w:color w:val="212529"/>
          <w:sz w:val="19"/>
          <w:szCs w:val="19"/>
          <w:lang w:val="kk-KZ"/>
        </w:rPr>
        <w:t>Құзыреттілік ұстанымы</w:t>
      </w:r>
      <w:r w:rsidRPr="00B74824">
        <w:rPr>
          <w:rFonts w:ascii="Montserrat" w:hAnsi="Montserrat"/>
          <w:color w:val="212529"/>
          <w:sz w:val="19"/>
          <w:szCs w:val="19"/>
          <w:lang w:val="kk-KZ"/>
        </w:rPr>
        <w:t> шешімдер қабылдау кезіндегі экономикалық дамудың үдерістері мен беталыстарын терең зерттеу, тарихи жағдайлардың өзіндік ерекшеліктерін жан-жақты ескеру, ғылым мен техниканың заманауи жетістіктерін пайдалану секілді қажетті жағдаяттар (шарттар) болып табылады.</w:t>
      </w:r>
    </w:p>
    <w:p w14:paraId="0AA4A2D9"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Макроэкономикалық саясат – бұл бүкіл экономикаға әсер ететін үкіметтің іс-әрекеті. Бағдарланған объектісі бойынша мемлекеттің макроэкономикалық саясаттарын:</w:t>
      </w:r>
    </w:p>
    <w:p w14:paraId="69081C9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ақша-несие (монетарлық) саясат;</w:t>
      </w:r>
    </w:p>
    <w:p w14:paraId="773D00A6"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салықтық-бюджеттік (фискалдық) саясат;</w:t>
      </w:r>
    </w:p>
    <w:p w14:paraId="7A4EEAEB"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әлеуметтік саясат;</w:t>
      </w:r>
    </w:p>
    <w:p w14:paraId="40973B12"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экологиялық саясат және т.т. ажыратуға болады.</w:t>
      </w:r>
    </w:p>
    <w:p w14:paraId="04C20B91"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Экономикалық саясатты жүргізгенде үкімет өзгертетін параметрлер (салық мөлшерлемесі, үкіметтік шығындар, үкіметтік субсидиялар және т.б.) – саяси өзгермелілер немесе саяси құралдар.</w:t>
      </w:r>
    </w:p>
    <w:p w14:paraId="23426DFA"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Саясат – мақсатты бағдарланған іс-әрекет болып табылады. Демек, мемлекет өзінің мақсаттарын айқындап алып, сонан кейін оларды экономикалық саясаттар арқылы жүзеге асырады. Мемлекеттің мүмкіндігінше кең бостандық және әлеуметтік әділдік шеңберінде өз мақсаттарын таңдауына және олар бойынша белгілі бір шараларды жүргізуіне толық еркіндігі бар.</w:t>
      </w:r>
    </w:p>
    <w:p w14:paraId="4681E16B"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Түрлі экономикалық, қаржы саясаты шараларын жүргізген кезде үкімет жалпы экономикалық теңдестікті сақтау қажеттігін есте ұстауы керек. Бұл басты мақсатқа, яғни, жалпы экономикалық теңдестікке жұмыспен толық қамтылу жағдайында және барлық нарықтардың (еңбек, ақша-несие, тауарлар мен қызметтер, бағалы қағаздар нарығы және т.б.) теңдестігі кезінде жетуге болады.</w:t>
      </w:r>
    </w:p>
    <w:p w14:paraId="7FB1984A"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Ең басты мақсаттан – жалпы экономикалық теңдестік мақсатынан  келесі мақсаттар  туындайды (1.1-сурет):</w:t>
      </w:r>
    </w:p>
    <w:p w14:paraId="5B2C4797"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Жұмыспен қамтылудың жоғары деңгейі;</w:t>
      </w:r>
    </w:p>
    <w:p w14:paraId="4CC35DAC"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баға деңгейінің тұрақтылығы;</w:t>
      </w:r>
    </w:p>
    <w:p w14:paraId="7DED65F3"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сыртқы экономикалық тепе-теңдік;</w:t>
      </w:r>
    </w:p>
    <w:p w14:paraId="176D0CA6"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lastRenderedPageBreak/>
        <w:t>- экономиканың тұрақты өсуі;</w:t>
      </w:r>
    </w:p>
    <w:p w14:paraId="4D8AE909"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табыс пен мүлікті әділ бөлу;</w:t>
      </w:r>
    </w:p>
    <w:p w14:paraId="651AE8F7" w14:textId="77777777" w:rsidR="00B74824" w:rsidRPr="00B74824" w:rsidRDefault="00B74824" w:rsidP="00B74824">
      <w:pPr>
        <w:pStyle w:val="ac"/>
        <w:spacing w:before="0" w:beforeAutospacing="0"/>
        <w:ind w:firstLine="480"/>
        <w:jc w:val="both"/>
        <w:rPr>
          <w:rFonts w:ascii="Montserrat" w:hAnsi="Montserrat"/>
          <w:color w:val="212529"/>
          <w:sz w:val="19"/>
          <w:szCs w:val="19"/>
          <w:lang w:val="kk-KZ"/>
        </w:rPr>
      </w:pPr>
      <w:r w:rsidRPr="00B74824">
        <w:rPr>
          <w:rFonts w:ascii="Montserrat" w:hAnsi="Montserrat"/>
          <w:color w:val="212529"/>
          <w:sz w:val="19"/>
          <w:szCs w:val="19"/>
          <w:lang w:val="kk-KZ"/>
        </w:rPr>
        <w:t>- қоршаған ортаны қорғау.</w:t>
      </w:r>
    </w:p>
    <w:p w14:paraId="7AAA2763" w14:textId="77777777" w:rsidR="001632AF" w:rsidRDefault="001632AF">
      <w:pPr>
        <w:rPr>
          <w:lang w:val="kk-KZ"/>
        </w:rPr>
      </w:pPr>
    </w:p>
    <w:p w14:paraId="561E3B87" w14:textId="77777777" w:rsidR="00BE02F6" w:rsidRPr="00500D47" w:rsidRDefault="00BE02F6" w:rsidP="00BE02F6">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60DE987C"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568CC335"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7129B340"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67CE86C6"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1542C0"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3FAEC460"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2EB05DD5"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3F0C8EBE"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5FCCEB1C"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53647414"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4FC5F41D"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7832D5FF"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51489331"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6843ACDE" w14:textId="77777777" w:rsidR="00BE02F6" w:rsidRPr="00500D47" w:rsidRDefault="00BE02F6" w:rsidP="00BE02F6">
      <w:pPr>
        <w:spacing w:after="0" w:line="240" w:lineRule="auto"/>
        <w:rPr>
          <w:rFonts w:ascii="Times New Roman" w:hAnsi="Times New Roman" w:cs="Times New Roman"/>
          <w:sz w:val="20"/>
          <w:szCs w:val="20"/>
          <w:lang w:val="kk-KZ"/>
        </w:rPr>
      </w:pPr>
    </w:p>
    <w:p w14:paraId="074BBA56"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7F38281D"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2867ED8D"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36110E5E"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47610550"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7015ADBE"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0AB75082"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35982FB8"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2A6B6AEE"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75F1F211"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5DE06C90"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05B1A9DB"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0BCDEC5C"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75F148EE"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4487C58D" w14:textId="77777777" w:rsidR="00BE02F6" w:rsidRPr="00500D47" w:rsidRDefault="00BE02F6" w:rsidP="00BE02F6">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27B28C10" w14:textId="77777777" w:rsidR="00BE02F6" w:rsidRPr="00500D47" w:rsidRDefault="00BE02F6" w:rsidP="00BE02F6">
      <w:pPr>
        <w:rPr>
          <w:rFonts w:ascii="Times New Roman" w:hAnsi="Times New Roman" w:cs="Times New Roman"/>
          <w:sz w:val="20"/>
          <w:szCs w:val="20"/>
          <w:lang w:val="kk-KZ"/>
        </w:rPr>
      </w:pPr>
    </w:p>
    <w:p w14:paraId="07B4137D" w14:textId="77777777" w:rsidR="00BE02F6" w:rsidRPr="00500D47" w:rsidRDefault="00BE02F6" w:rsidP="00BE02F6">
      <w:pPr>
        <w:rPr>
          <w:rFonts w:ascii="Times New Roman" w:hAnsi="Times New Roman" w:cs="Times New Roman"/>
          <w:sz w:val="20"/>
          <w:szCs w:val="20"/>
          <w:lang w:val="kk-KZ"/>
        </w:rPr>
      </w:pPr>
    </w:p>
    <w:p w14:paraId="225C5570" w14:textId="77777777" w:rsidR="00BE02F6" w:rsidRPr="00500D47" w:rsidRDefault="00BE02F6" w:rsidP="00BE02F6">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4B4677EA"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697317C2"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F635FD0"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25FB5CF"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CCE9ACB"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2D153A5C"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26CA262"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3C9E3D9A"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1DAE1909"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B032AD0"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038E3E6A"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2FD1B9D"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431904DE"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1DC8049"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3322D82"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708CEE2"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7F59B47" w14:textId="77777777" w:rsidR="00BE02F6" w:rsidRPr="00500D47" w:rsidRDefault="00BE02F6" w:rsidP="00BE02F6">
      <w:pPr>
        <w:rPr>
          <w:rFonts w:ascii="Times New Roman" w:hAnsi="Times New Roman" w:cs="Times New Roman"/>
          <w:sz w:val="20"/>
          <w:szCs w:val="20"/>
          <w:lang w:val="kk-KZ"/>
        </w:rPr>
      </w:pPr>
    </w:p>
    <w:p w14:paraId="0452D135" w14:textId="77777777" w:rsidR="00BE02F6" w:rsidRPr="00500D47" w:rsidRDefault="00BE02F6" w:rsidP="00BE02F6">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78308CA2"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79900D65"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265EE749"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21DB9E48" w14:textId="77777777" w:rsidR="00BE02F6" w:rsidRPr="00500D47" w:rsidRDefault="00BE02F6" w:rsidP="00BE02F6">
      <w:pPr>
        <w:spacing w:after="0"/>
        <w:rPr>
          <w:rFonts w:ascii="Times New Roman" w:hAnsi="Times New Roman" w:cs="Times New Roman"/>
          <w:sz w:val="20"/>
          <w:szCs w:val="20"/>
          <w:lang w:val="kk-KZ"/>
        </w:rPr>
      </w:pPr>
    </w:p>
    <w:p w14:paraId="015403EE" w14:textId="77777777" w:rsidR="00BE02F6" w:rsidRPr="00500D47" w:rsidRDefault="00BE02F6" w:rsidP="00BE02F6">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0F2777CA"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782B27F1" w14:textId="77777777" w:rsidR="00BE02F6" w:rsidRPr="00500D47" w:rsidRDefault="00BE02F6" w:rsidP="00BE02F6">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3390D3E8" w14:textId="77777777" w:rsidR="00BE02F6" w:rsidRPr="00BE02F6" w:rsidRDefault="00BE02F6">
      <w:pPr>
        <w:rPr>
          <w:lang w:val="kk-KZ"/>
        </w:rPr>
      </w:pPr>
    </w:p>
    <w:sectPr w:rsidR="00BE02F6" w:rsidRPr="00BE02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CC"/>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52"/>
    <w:rsid w:val="001632AF"/>
    <w:rsid w:val="00310446"/>
    <w:rsid w:val="003E6D87"/>
    <w:rsid w:val="008B56A5"/>
    <w:rsid w:val="008E4A45"/>
    <w:rsid w:val="00AD0903"/>
    <w:rsid w:val="00B51B52"/>
    <w:rsid w:val="00B74824"/>
    <w:rsid w:val="00BE02F6"/>
    <w:rsid w:val="00DD1D1E"/>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B8F1"/>
  <w15:chartTrackingRefBased/>
  <w15:docId w15:val="{A6B05BAD-2C07-4A3C-A5E0-70B0D3C0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2F6"/>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B7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B74824"/>
    <w:rPr>
      <w:b/>
      <w:bCs/>
    </w:rPr>
  </w:style>
  <w:style w:type="character" w:styleId="ae">
    <w:name w:val="Emphasis"/>
    <w:basedOn w:val="a0"/>
    <w:uiPriority w:val="20"/>
    <w:qFormat/>
    <w:rsid w:val="00B74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2204</Words>
  <Characters>12566</Characters>
  <Application>Microsoft Office Word</Application>
  <DocSecurity>0</DocSecurity>
  <Lines>104</Lines>
  <Paragraphs>29</Paragraphs>
  <ScaleCrop>false</ScaleCrop>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2024-09-19T02:39:00Z</dcterms:created>
  <dcterms:modified xsi:type="dcterms:W3CDTF">2024-09-20T02:59:00Z</dcterms:modified>
</cp:coreProperties>
</file>